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  <w:gridCol w:w="4521"/>
      </w:tblGrid>
      <w:tr w:rsidR="00C64279" w:rsidRPr="00C64279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30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C642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C64279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C64279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ՀԵՂՈՒԿ, ԲՆԱԿԱՆ ԳԱԶԵՐԻ ՊԱՀԵՍՏՆԵՐԻ ՀԱՄԱՐ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Times New Roman"/>
          <w:color w:val="000000"/>
        </w:rPr>
        <w:t xml:space="preserve"> </w:t>
      </w:r>
      <w:r w:rsidRPr="00C64279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>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C64279" w:rsidRPr="00C64279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  <w:r w:rsidRPr="00C64279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  <w:r w:rsidRPr="00C64279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  <w:r w:rsidRPr="00C64279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</w:t>
                  </w:r>
                  <w:r w:rsidRPr="00C64279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C64279" w:rsidRPr="00C64279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4279" w:rsidRPr="00C64279" w:rsidRDefault="00C64279" w:rsidP="00C64279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64279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C64279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64279" w:rsidRPr="00C6427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C64279" w:rsidRPr="00C64279" w:rsidRDefault="00C64279" w:rsidP="00C6427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64279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lastRenderedPageBreak/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ՀԵՂՈՒԿ, ԲՆԱԿԱՆ ԳԱԶԵՐԻ ՊԱՀԵՍՏՆԵՐԻ ՀԱՄԱՐ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22"/>
        <w:gridCol w:w="367"/>
        <w:gridCol w:w="257"/>
        <w:gridCol w:w="433"/>
        <w:gridCol w:w="1491"/>
        <w:gridCol w:w="1346"/>
        <w:gridCol w:w="1134"/>
        <w:gridCol w:w="860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Շինարարական հիմնատարրերը մշակված (տոգորված) են հրապաշտպան լուծույթով կամ պատվածքով և գտնվում են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Պահեստների և բազաների ներքին երկաթուղային գծանցները և անցումները ունեն համատարած տախտակում` հրշեջ ավտոմեքենաների ազատ երթևեկության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 հա և ավելի չափերի բազաների (պահեստների) տարածքները հրշեջ ավտոմեքենաների համար ապահովված են ոչ պակաս՝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Բնակելի, հասարակական և արտադրական նշանակության շինություններից մինչև գազի պահեստի նորմերով պահանջվող հակահրդեհային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9.2.1 աղյուսակ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Օբյեկտի տարածքում գտնվող շինությունները ապահովված են հրշեջ ավտոմեքենաների մոտեցման ճանապարհներով: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Գազի բալոնները պաշտպանված են արևի ճառագայթների անմիջական ազդեցությունից: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 և Բ կարգի սենքերի արտաքին պատող կոնստրուկցիաները դյուրանետ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«10», կետ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Բեռնման և բեռնաթափման կառամատույցները ապահովված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են տարակենտրոնացված երկու սանդուղքով կամ թեքամուտքով: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«4», կետ 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Հեղուկացված ածխաջրածնային գազերի գազամբարային և բալոնային կայանքներ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Ցանկապատի արտաքին կողմից 10մ լայնությամբ հակահրդեհային գոտին պահպանված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9.1.3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Երկաթուղային շարժակազմի կազմատման համար, փակուղու կողմից նախատեսված է 20 մետրից ոչ պակաս երկարությամբ լրացուցիչ ուղիղ հատված: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Ավտոտրանսպորտի վթարային տարահանման նպատակով 500 խմ և ավելի տարողությամբ գազամբարների համար նախատեսված է ապակենտրոնացված ոչ պակաս քան երկու ելքեր: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Ավտոցիստեռների և գազաբալոնային ավտոմոբիլների լցավորման աշտարակների միջև նախատեսված է ոչ պակաս քան 6մ լայնությամբ միջանցիկ երթանց: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Ստորգետնյա առանձին գազամբարների միջև լուսանցային հեռավորությունը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պակաս չէ հարակից գազամբարի տրամագծի կեսից, բայց ոչ պակաս 1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Ավտոմեքենաներով ստացվող գազի դատարկման համար նախատեսված են դատարկման աշտարակներ: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Գազամբարների վրա տեղադրված են ապահովիչ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Գազամբարներից գազի հեռացումը կատարվում է արտանետման խողովակների միջոցով՝ գազամբարից ոչ պակաս քան 3 մետր բարձրության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«7», կետ 10.6.8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Խմբակային բալոնային կայանքները տեղակայված են շենքերից ու կառուցվածքներից թույլատրելի հեռավորությունների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8.2.4 աղյուսակ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Շինությունից դուրս տեղադրվող բալոնային կայանքները տեղադրված են բացվածքներից ոչ պակաս քան 1մ հեռավորությունների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8.2.5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Հեղուկացված գազերի գործարանային պատրաստվածության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գազամբարները տեղադրված են ստորգետնյա՝ յուրաքանչյուրը 25 խմ տարողությամբ, բայց ոչ ավել քան 100 խմ ընդհանուր ծավալով: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9.3.1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 տեղադրված գազամբարների միջև հեռավորությունը ընդունված է ամենամեծ գազամբարի երկարությանը հավասար, սակայն պակաս չէ 10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9.3.3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 գազամբարների յուրաքանչյուր խումբ իր պարագծով պարփակված է թմբապատով կամ ոչ պակաս քան 1մ բարձրությամբ չայրվող նյութերից պատրաստված գազաանթափանց ցանկապատով: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«3», կետ 9.3.4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29</w:t>
            </w:r>
            <w:r w:rsidRPr="00C64279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է հրդեհի դեպքում օդի ճնշումով 1-ին տեսակի նախամուտք-անցախուց: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վերելակների առջև կառուցված են հրդեհի դեպքում օդի ճնշմամբ նախամուտք-անցախուց: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«5»,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Հրդեհավտանգ հիմնատարրերով տանիքների վրայով օդային էլեկտրահաղորդման գծեր և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արտաքին էլեկտրագծեր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34</w:t>
            </w:r>
            <w:r w:rsidRPr="00C64279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34</w:t>
            </w:r>
            <w:r w:rsidRPr="00C64279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մոնտաժված են վթարային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լուսավորության լուսատուներ և ելք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gramStart"/>
            <w:r w:rsidRPr="00C64279">
              <w:rPr>
                <w:rFonts w:ascii="GHEA Grapalat" w:eastAsia="Times New Roman" w:hAnsi="GHEA Grapalat" w:cs="Times New Roman"/>
                <w:color w:val="000000"/>
              </w:rPr>
              <w:t>ցույց</w:t>
            </w:r>
            <w:proofErr w:type="gramEnd"/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գլուխ 2, կետ 10, «12»,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գլուխ 6, կետեր 208,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Ջեռուցման սարքերից մինչև վառողունակ գույքը պահպանված է 0,7 մետրից ոչ պակաս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«6»,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պաշտպանության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համակարգ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«11», գլուխ 5, կետեր 29, 45, գլուխ 11, կետ 602 և գլուխ 12,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500 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-ից ավելի ծավալով պահեստային շենքերը սարքավորված են հրշեջ ծորակներով կահավորված ներքին հակահրդեհային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«8», կետ 61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42</w:t>
            </w:r>
            <w:r w:rsidRPr="00C64279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«8»,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Գազի պահեստները և վարչական շենքերը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VI*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«9»,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դրական եզրակացությունը: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«9»,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64279" w:rsidRPr="00C64279" w:rsidRDefault="00C64279" w:rsidP="00C64279">
      <w:pPr>
        <w:spacing w:after="0"/>
        <w:jc w:val="both"/>
        <w:rPr>
          <w:rFonts w:ascii="GHEA Grapalat" w:eastAsia="Times New Roman" w:hAnsi="GHEA Grapalat" w:cs="Times New Roman"/>
          <w:vanish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C64279" w:rsidRPr="00C64279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«2» - ՀՀՇՆ III-9.02-02-03 «Արդյունաբերական կազմակերպությունների գլխավոր հատակագծեր»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«3» - ՀՀՇՆ IV-12.03.01-04 «Գազաբաշխիչ համակարգեր»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«4» -ՀՀՇՆ IV-11.03.02-04 «Պահեստային շենքեր»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«7» - ՇՆՁ IV-12.101-04 «Գազաբաշխման համակարգերի նախագծում և շինարարություն»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«8» - ՀՀՇՆ 40-01.01-2014 «Շենքերի ներքին ջրամատակարարում և ջրահեռացում»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«9» - «Տեխնիկական անվտանգության ապահովման պետական կարգավորման մասին» ՀՀ օրենք ընդունված է 2005 թվականի հոկտեմբերի 24-ին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«10» - ՀՀՇՆ IV-11.03.01-04 «Արտադրական շենքեր»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«11» - ՀՀՇՆ 40.01.02-2020 «Ջրամատակարարում. Արտաքին ցանցեր և կառուցվածքներ»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«12» - ՀՀՇՆ 22-03-2017 «Արհեստական և բնական լուսավորում»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I* - Բնակելի, հասարակական և արտադրական նշանակության շինություններից մինչև հեղուկ գազի պահեստի նորմերով պահանջվող հակահրդեհային միջտարածությունները.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855"/>
        <w:gridCol w:w="820"/>
        <w:gridCol w:w="592"/>
        <w:gridCol w:w="724"/>
        <w:gridCol w:w="697"/>
        <w:gridCol w:w="697"/>
        <w:gridCol w:w="678"/>
        <w:gridCol w:w="678"/>
        <w:gridCol w:w="697"/>
        <w:gridCol w:w="697"/>
        <w:gridCol w:w="1076"/>
        <w:gridCol w:w="607"/>
        <w:gridCol w:w="697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Շենքեր, սենքեր և հաղորդակ-ցուղիներ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Լուսանցային հեռավորությունը ՀԱԳ գազամբարներից, 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Հեռավո-րությունը ՀԱԳ օգտա-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գործող սենքերից,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կայանք-ներից, 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Հեռավո-րությունը լիցքա-վորված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բալոնների պահեստից ընդհանուր տարո-ղությամբ, խմ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 գազամբարներ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Ստորգետնյա գազամբարներ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Ընդհանուր տարողության դեպքում,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200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200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Մեկ գազամբար, առավելագույն տարողությունը,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պակաս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մեծ 100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մեծ 100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մինչև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Բնակելի, հասարակական, վարչական, կենցաղային, արտադրական շենքեր, ավտոտնակներ և բաց կանգառներ*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/50/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/100/**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75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/55/**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(30)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 կառուցվածքներ և հաղորդակ-ցուղիներ (էստակադներ, ջերմատարներ և այլն) բնակելի շենքերի օժանդակ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Ընդհանուր ցանցի երկաթուղիներ (լիրքի ստորոտից), միջպետական, հանրապետական և տեղական նշանակության ավտոմոբիլային ճանապարհներ (մինչև երթևեկելի մասի եզրը)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75***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Մերձատար երկաթուղիներ, կազմակեր-պությունների ճանապարհներ, տրամվայի ուղիներ, միջպետական ավտոմոբիլային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30***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40***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20***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25***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/20/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II *-</w:t>
      </w:r>
      <w:r w:rsidRPr="00C64279">
        <w:rPr>
          <w:rFonts w:ascii="Calibri" w:eastAsia="Times New Roman" w:hAnsi="Calibri" w:cs="Calibri"/>
          <w:b/>
          <w:bCs/>
          <w:color w:val="000000"/>
        </w:rPr>
        <w:t> </w:t>
      </w:r>
      <w:r w:rsidRPr="00C64279">
        <w:rPr>
          <w:rFonts w:ascii="GHEA Grapalat" w:eastAsia="Times New Roman" w:hAnsi="GHEA Grapalat" w:cs="GHEA Grapalat"/>
          <w:b/>
          <w:bCs/>
          <w:color w:val="000000"/>
        </w:rPr>
        <w:t>Շինությունների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C64279">
        <w:rPr>
          <w:rFonts w:ascii="GHEA Grapalat" w:eastAsia="Times New Roman" w:hAnsi="GHEA Grapalat" w:cs="GHEA Grapalat"/>
          <w:b/>
          <w:bCs/>
          <w:color w:val="000000"/>
        </w:rPr>
        <w:t>պայթյունահրդեհավտանգավորության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C64279">
        <w:rPr>
          <w:rFonts w:ascii="GHEA Grapalat" w:eastAsia="Times New Roman" w:hAnsi="GHEA Grapalat" w:cs="GHEA Grapalat"/>
          <w:b/>
          <w:bCs/>
          <w:color w:val="000000"/>
        </w:rPr>
        <w:t>կարգը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11"/>
        <w:gridCol w:w="7297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Շենքերում և սենքերում գտնվող նյութերի բնութագիր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C-ից ոչ ավել բռնկման ջերմաստիճան ունեցող այրվող գազեր, դյուրավառ հեղուկներ` այն քանակությամբ, որ կարող են ստեղծել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Սառը վիճակում գտնվող չայրվող նյութեր: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III* - Խմբակային բալոնային կայանքները և շենքերի ու կառուցվածքների թույլատրելի հեռավորությունները: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215"/>
        <w:gridCol w:w="662"/>
        <w:gridCol w:w="710"/>
        <w:gridCol w:w="713"/>
        <w:gridCol w:w="674"/>
        <w:gridCol w:w="713"/>
        <w:gridCol w:w="714"/>
        <w:gridCol w:w="2007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Շենքեր, կառուցվածքներ և հաղորդակցուղիներ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Հեռավորությունը գազամբարներից լուսանցով, 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Հեռավորությունը գոլորշիացման կամ խմբային բալոնային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կայանքից լուսանցով, մ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Կայանքի գազամբարների ընդհանուր տարողության դեպքում, 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Մինչև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5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10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Մինչև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10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բարձր 20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մինչև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Հասարակական շենքեր և կառուցվածքներ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Բնակելի 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Մանկական և սպորտային հրապարակներ, ավտոտնակներ, (գազամբարային կայանքի ցանկապատից)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Արտադրական շենքեր (արդյունաբերական, գյուղատնտեսական կազմակերպության) և արտադրական բնույթի կենցաղային սպասարկման կազմակերպություններ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Կոյուղի, ջերմացանց (ստորգետնյա)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3.5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Վերգետնյա կառուցվածքներ և հաղորդակցուղիներ (էստակադա, ջերմագիծ) գազամբարներին չվերաբերող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Ջրատար և այլ անկանալային հաղորդակցուղիներ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Ստորգետնյա հաղորդակցուղիների դիտահորեր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Ընդհանուր ցանցի երկաթուղիներ (մինչև լիրքի ստորոտը կամ գազամբարի կողմից փորվածքի եզերքը)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Արդյունաբերական կազմակերպությունների մերձատար երկաթուղիներ, տրամվայի ուղիներ (մինչև ուղու առանցքը), միջպետական, հանրապետական և տեղական նշանակության ավտոմոբիլային ճանապարհներ (մինչև երթևեկելի մասի եզրը)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Գյուղական նշանակության ավտոմոբիլային ճանապարհներ (մինչև երթևեկելի մասի եզրը)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IV*-Ոչ պակաս քան տարահանման երկու ելք պետք է ունենան.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C64279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GHEA Grapalat"/>
          <w:color w:val="000000"/>
        </w:rPr>
        <w:t>ավելի</w:t>
      </w:r>
      <w:r w:rsidRPr="00C64279">
        <w:rPr>
          <w:rFonts w:ascii="GHEA Grapalat" w:eastAsia="Times New Roman" w:hAnsi="GHEA Grapalat" w:cs="Times New Roman"/>
          <w:color w:val="000000"/>
        </w:rPr>
        <w:t xml:space="preserve"> մակերեսով սենքերը,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lastRenderedPageBreak/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C64279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GHEA Grapalat"/>
          <w:color w:val="000000"/>
        </w:rPr>
        <w:t>ավելի</w:t>
      </w:r>
      <w:r w:rsidRPr="00C64279">
        <w:rPr>
          <w:rFonts w:ascii="GHEA Grapalat" w:eastAsia="Times New Roman" w:hAnsi="GHEA Grapalat" w:cs="Times New Roman"/>
          <w:color w:val="000000"/>
        </w:rPr>
        <w:t xml:space="preserve"> հարկաբաժնի հատակի մակերեսի դեպքում և 400 մ</w:t>
      </w:r>
      <w:r w:rsidRPr="00C64279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GHEA Grapalat"/>
          <w:color w:val="000000"/>
        </w:rPr>
        <w:t>ավելի</w:t>
      </w:r>
      <w:r w:rsidRPr="00C64279">
        <w:rPr>
          <w:rFonts w:ascii="GHEA Grapalat" w:eastAsia="Times New Roman" w:hAnsi="GHEA Grapalat" w:cs="Times New Roman"/>
          <w:color w:val="000000"/>
        </w:rPr>
        <w:t xml:space="preserve"> - այլ կարգի սենքերի համար,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V *- Հրդեհաշիջման և հրդեհի ազդանշանման ինքնաշխատ համակարգերով օբյեկտների համալրման չափանիշներն են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1497"/>
        <w:gridCol w:w="1497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1. Պայթյունահրդեհային վտանգավորության «Ա» և «Բ»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3.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վերամշակման համար շենքերում և շինություններում), դրանք հարկերում տեղակայման դեպքում.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lastRenderedPageBreak/>
              <w:t>3.1.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Calibri" w:eastAsia="Times New Roman" w:hAnsi="Calibri" w:cs="Calibri"/>
                <w:color w:val="000000"/>
              </w:rPr>
              <w:t> 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64279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VI*- Շենքերը և շինությունները ձեռքի կրակմարիչներով ապահովելու չափանիշները ներկայացված են ստորև ներկայացված աղյուսակներում.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</w:p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 կրակմարիչներով ապահովվում են համաձայն հետևյալ աղյուսակի.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64279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  <w:r w:rsidRPr="00C64279">
              <w:rPr>
                <w:rFonts w:ascii="GHEA Grapalat" w:eastAsia="Times New Roman" w:hAnsi="GHEA Grapalat" w:cs="Times New Roman"/>
                <w:color w:val="000000"/>
              </w:rPr>
              <w:br/>
              <w:t>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64279" w:rsidRPr="00C6427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279" w:rsidRPr="00C64279" w:rsidRDefault="00C64279" w:rsidP="00C6427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64279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>E) փոշի.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color w:val="000000"/>
        </w:rPr>
        <w:t>ՀԵՂՈՒԿ, ԲՆԱԿԱՆ ԳԱԶԵՐԻ ՊԱՀԵՍՏՆԵՐԻ ՍՏՈՒԳԱԹԵՐԹԻ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Calibri" w:eastAsia="Times New Roman" w:hAnsi="Calibri" w:cs="Calibri"/>
          <w:color w:val="000000"/>
        </w:rPr>
        <w:t> 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r w:rsidRPr="00C64279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 xml:space="preserve"> միջտարածություն`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r w:rsidRPr="00C64279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GHEA Grapalat"/>
          <w:i/>
          <w:iCs/>
          <w:color w:val="000000"/>
        </w:rPr>
        <w:t>շենքի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 xml:space="preserve"> հրակայունության աստիճան`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r w:rsidRPr="00C64279">
        <w:rPr>
          <w:rFonts w:ascii="GHEA Grapalat" w:eastAsia="Times New Roman" w:hAnsi="GHEA Grapalat" w:cs="Times New Roman"/>
          <w:color w:val="000000"/>
        </w:rPr>
        <w:t>կառուցատարրերի կրողունակությունների, ամբողջականության և ջերմամեկուսացման պահպանման չափանիշ: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i/>
          <w:iCs/>
          <w:color w:val="000000"/>
        </w:rPr>
        <w:t>4)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GHEA Grapalat"/>
          <w:i/>
          <w:iCs/>
          <w:color w:val="000000"/>
        </w:rPr>
        <w:t>պայթյունավտանգ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r w:rsidRPr="00C64279">
        <w:rPr>
          <w:rFonts w:ascii="GHEA Grapalat" w:eastAsia="Times New Roman" w:hAnsi="GHEA Grapalat" w:cs="Times New Roman"/>
          <w:color w:val="000000"/>
        </w:rPr>
        <w:t>պայթյունի վտանգ առաջացնելու, առանց օդի, թթվածնի մասնակցության պայթյունի ունակություն: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64279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6</w:t>
      </w:r>
      <w:r w:rsidRPr="00C64279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C64279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64279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C64279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64279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C64279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C64279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t>9)</w:t>
      </w:r>
      <w:r w:rsidRPr="00C64279">
        <w:rPr>
          <w:rFonts w:ascii="Calibri" w:eastAsia="Times New Roman" w:hAnsi="Calibri" w:cs="Calibri"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Times New Roman"/>
          <w:i/>
          <w:iCs/>
          <w:color w:val="000000"/>
        </w:rPr>
        <w:t>հրդեհաշիջման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 xml:space="preserve"> սկզբնական միջոցներ՝</w:t>
      </w:r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GHEA Grapalat"/>
          <w:color w:val="000000"/>
        </w:rPr>
        <w:t>կրակմարիչն</w:t>
      </w:r>
      <w:r w:rsidRPr="00C64279">
        <w:rPr>
          <w:rFonts w:ascii="GHEA Grapalat" w:eastAsia="Times New Roman" w:hAnsi="GHEA Grapalat" w:cs="Times New Roman"/>
          <w:color w:val="000000"/>
        </w:rPr>
        <w:t>եր, արկղ ավազով, դույլ, բահ, կեռաձող, կացին: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color w:val="000000"/>
        </w:rPr>
        <w:lastRenderedPageBreak/>
        <w:t>10)</w:t>
      </w:r>
      <w:r w:rsidRPr="00C64279">
        <w:rPr>
          <w:rFonts w:ascii="Calibri" w:eastAsia="Times New Roman" w:hAnsi="Calibri" w:cs="Calibri"/>
          <w:color w:val="000000"/>
        </w:rPr>
        <w:t> </w:t>
      </w:r>
      <w:proofErr w:type="gramStart"/>
      <w:r w:rsidRPr="00C64279">
        <w:rPr>
          <w:rFonts w:ascii="GHEA Grapalat" w:eastAsia="Times New Roman" w:hAnsi="GHEA Grapalat" w:cs="Times New Roman"/>
          <w:i/>
          <w:iCs/>
          <w:color w:val="000000"/>
        </w:rPr>
        <w:t>դյուրանետվող</w:t>
      </w:r>
      <w:proofErr w:type="gramEnd"/>
      <w:r w:rsidRPr="00C64279">
        <w:rPr>
          <w:rFonts w:ascii="GHEA Grapalat" w:eastAsia="Times New Roman" w:hAnsi="GHEA Grapalat" w:cs="Times New Roman"/>
          <w:i/>
          <w:iCs/>
          <w:color w:val="000000"/>
        </w:rPr>
        <w:t xml:space="preserve"> կոնստրուկցիաներ՝</w:t>
      </w:r>
      <w:r w:rsidRPr="00C64279">
        <w:rPr>
          <w:rFonts w:ascii="Calibri" w:eastAsia="Times New Roman" w:hAnsi="Calibri" w:cs="Calibri"/>
          <w:color w:val="000000"/>
        </w:rPr>
        <w:t> </w:t>
      </w:r>
      <w:r w:rsidRPr="00C64279">
        <w:rPr>
          <w:rFonts w:ascii="GHEA Grapalat" w:eastAsia="Times New Roman" w:hAnsi="GHEA Grapalat" w:cs="GHEA Grapalat"/>
          <w:color w:val="000000"/>
        </w:rPr>
        <w:t>ապակեպատ</w:t>
      </w:r>
      <w:r w:rsidRPr="00C64279">
        <w:rPr>
          <w:rFonts w:ascii="GHEA Grapalat" w:eastAsia="Times New Roman" w:hAnsi="GHEA Grapalat" w:cs="Times New Roman"/>
          <w:color w:val="000000"/>
        </w:rPr>
        <w:t xml:space="preserve"> պատուհաններ և երդիկներ կամ պողպատե, ալյումինե և ասբոցեմենտի թերթերով և արդյունավետ ջերմապահպանիչներով ծածկեր:</w:t>
      </w:r>
    </w:p>
    <w:p w:rsidR="00C64279" w:rsidRPr="00C64279" w:rsidRDefault="00C64279" w:rsidP="00C6427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64279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C64279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C64279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 լրաց.,</w:t>
      </w:r>
      <w:r w:rsidRPr="00C64279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C64279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C64279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 փոփ. 18.01.24 N 88-Ն)</w:t>
      </w:r>
    </w:p>
    <w:bookmarkEnd w:id="0"/>
    <w:p w:rsidR="00E43137" w:rsidRPr="00C64279" w:rsidRDefault="00E43137" w:rsidP="00C64279">
      <w:pPr>
        <w:jc w:val="both"/>
        <w:rPr>
          <w:rFonts w:ascii="GHEA Grapalat" w:hAnsi="GHEA Grapalat"/>
        </w:rPr>
      </w:pPr>
    </w:p>
    <w:sectPr w:rsidR="00E43137" w:rsidRPr="00C64279" w:rsidSect="00B61BCA">
      <w:headerReference w:type="even" r:id="rId7"/>
      <w:headerReference w:type="default" r:id="rId8"/>
      <w:footerReference w:type="default" r:id="rId9"/>
      <w:pgSz w:w="15840" w:h="12240" w:orient="landscape"/>
      <w:pgMar w:top="181" w:right="1440" w:bottom="335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57" w:rsidRDefault="000D3457">
      <w:pPr>
        <w:spacing w:after="0" w:line="240" w:lineRule="auto"/>
      </w:pPr>
      <w:r>
        <w:separator/>
      </w:r>
    </w:p>
  </w:endnote>
  <w:endnote w:type="continuationSeparator" w:id="0">
    <w:p w:rsidR="000D3457" w:rsidRDefault="000D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F5" w:rsidRDefault="000D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57" w:rsidRDefault="000D3457">
      <w:pPr>
        <w:spacing w:after="0" w:line="240" w:lineRule="auto"/>
      </w:pPr>
      <w:r>
        <w:separator/>
      </w:r>
    </w:p>
  </w:footnote>
  <w:footnote w:type="continuationSeparator" w:id="0">
    <w:p w:rsidR="000D3457" w:rsidRDefault="000D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F5" w:rsidRDefault="00E43137" w:rsidP="003178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CF5" w:rsidRDefault="000D3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F5" w:rsidRDefault="000D3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5"/>
    <w:rsid w:val="000D3457"/>
    <w:rsid w:val="005718A5"/>
    <w:rsid w:val="00C64279"/>
    <w:rsid w:val="00E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E759F-9C81-4245-BBF0-EB0F111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8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5718A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718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5718A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718A5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5718A5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5718A5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5718A5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5718A5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8A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718A5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718A5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718A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718A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5718A5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5718A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5718A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5718A5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5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8A5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718A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5718A5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718A5"/>
  </w:style>
  <w:style w:type="paragraph" w:styleId="BalloonText">
    <w:name w:val="Balloon Text"/>
    <w:basedOn w:val="Normal"/>
    <w:link w:val="BalloonTextChar"/>
    <w:uiPriority w:val="99"/>
    <w:semiHidden/>
    <w:unhideWhenUsed/>
    <w:rsid w:val="005718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A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57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71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5718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718A5"/>
  </w:style>
  <w:style w:type="paragraph" w:styleId="Header">
    <w:name w:val="header"/>
    <w:basedOn w:val="Normal"/>
    <w:link w:val="HeaderChar"/>
    <w:unhideWhenUsed/>
    <w:rsid w:val="005718A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8A5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718A5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718A5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5718A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18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5718A5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718A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5718A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5718A5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5718A5"/>
    <w:rPr>
      <w:color w:val="808080"/>
    </w:rPr>
  </w:style>
  <w:style w:type="paragraph" w:styleId="NoSpacing">
    <w:name w:val="No Spacing"/>
    <w:link w:val="NoSpacingChar"/>
    <w:qFormat/>
    <w:rsid w:val="005718A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5718A5"/>
    <w:rPr>
      <w:rFonts w:cs="Times New Roman"/>
      <w:color w:val="0000FF"/>
      <w:u w:val="single"/>
    </w:rPr>
  </w:style>
  <w:style w:type="character" w:styleId="FollowedHyperlink">
    <w:name w:val="FollowedHyperlink"/>
    <w:rsid w:val="005718A5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5718A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5718A5"/>
  </w:style>
  <w:style w:type="paragraph" w:styleId="BodyTextIndent">
    <w:name w:val="Body Text Indent"/>
    <w:basedOn w:val="Normal"/>
    <w:link w:val="BodyTextIndentChar"/>
    <w:rsid w:val="005718A5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18A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718A5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718A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5718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718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718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718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5718A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5718A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5718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5718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5718A5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5718A5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5718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5718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5718A5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5718A5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57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5718A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5718A5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5718A5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5718A5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5718A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5718A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5718A5"/>
  </w:style>
  <w:style w:type="character" w:customStyle="1" w:styleId="CharChar3">
    <w:name w:val="Char Char3"/>
    <w:rsid w:val="005718A5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5718A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5718A5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5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5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5718A5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571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718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7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18A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718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C6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2024-03-01T08:11:00Z</dcterms:created>
  <dcterms:modified xsi:type="dcterms:W3CDTF">2024-03-01T08:11:00Z</dcterms:modified>
</cp:coreProperties>
</file>